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255EB4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Postcards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5771"/>
      </w:tblGrid>
      <w:tr w:rsidR="00255EB4" w:rsidRPr="003E072A" w:rsidTr="0003019A">
        <w:trPr>
          <w:trHeight w:val="31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B756C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A2 Writing</w:t>
            </w:r>
          </w:p>
        </w:tc>
      </w:tr>
      <w:tr w:rsidR="00255EB4" w:rsidRPr="003E072A" w:rsidTr="00CE4636">
        <w:trPr>
          <w:trHeight w:val="800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eastAsia="Times New Roman" w:hAnsi="Arial" w:cs="Arial"/>
                <w:bCs/>
                <w:sz w:val="20"/>
                <w:szCs w:val="20"/>
                <w:lang w:val="en-GB" w:eastAsia="tr-TR"/>
              </w:rPr>
              <w:t>Writing a short letter in order to express thanks, apologies, greetings, and using simple forms of addressing, greeting, thanking and requesting.</w:t>
            </w:r>
          </w:p>
        </w:tc>
      </w:tr>
      <w:tr w:rsidR="00255EB4" w:rsidRPr="003E072A" w:rsidTr="0003019A">
        <w:trPr>
          <w:trHeight w:val="38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Visual art, children’s literature </w:t>
            </w:r>
          </w:p>
        </w:tc>
      </w:tr>
      <w:tr w:rsidR="00255EB4" w:rsidRPr="003E072A" w:rsidTr="0003019A">
        <w:trPr>
          <w:trHeight w:val="36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45 minutes</w:t>
            </w:r>
          </w:p>
        </w:tc>
      </w:tr>
      <w:tr w:rsidR="00255EB4" w:rsidRPr="003E072A" w:rsidTr="00CE4636">
        <w:trPr>
          <w:trHeight w:val="84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A story to read, pencils, crayons, cardboard and scissors.</w:t>
            </w:r>
          </w:p>
        </w:tc>
      </w:tr>
      <w:tr w:rsidR="000E385B" w:rsidRPr="003E072A" w:rsidTr="00CE4636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5B13D9" w:rsidRDefault="005B13D9" w:rsidP="005B13D9">
            <w:pPr>
              <w:pStyle w:val="Nadpis2"/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The teacher reads aloud the story (or may want to ask a child to start reading it with the other children continuing in turn, until the story ends).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When the story ends, the teacher asks children several questions related to the content, the protagonists, the moral of the story.  S/he asks also to imagine a different finale and/or to add another character to the story. 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At that point, children are very much into a creative mood, therefore, s/he asks children to imagine to write a postcard to one of the story’s protagonists wishing to thank or to apologise for something that occurred, or to express greetings from a holiday location. 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The teacher splits the class into three groups: the ‘thanks’ group, the ‘apologies’ group and the ‘greetings’ group.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A4 size cardboards will be cut into 4 rectangles, one rectangle for every child. This becomes a postcard to be drawn on one side and written on the other side, individually by each child.    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Children imagine that the characters of the story only speak the second language that they’re learning. 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Each child, according to his group, depicts the episode for which s/he is thanking or apologizing or depict the holiday place from which s/he is sending greetings, on one side of the postcard.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On the other side, s/he writes the text – in the target language – thanking for…., apologising for…, greeting from…. (i.e. </w:t>
            </w:r>
            <w:r w:rsidRPr="00255EB4">
              <w:rPr>
                <w:rFonts w:ascii="Arial" w:hAnsi="Arial" w:cs="Arial"/>
                <w:i/>
                <w:sz w:val="20"/>
                <w:szCs w:val="20"/>
                <w:lang w:val="en-GB"/>
              </w:rPr>
              <w:t>Dear rooster, I am terribly sorry for having poured the hot coffee on your paw. I will never do that again. I hope you’re getting better. Sorry!)</w:t>
            </w:r>
          </w:p>
          <w:p w:rsidR="00255EB4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Children have 20 minutes to draw the episode and write the text addressed to one of the characters, on their postcard.</w:t>
            </w:r>
          </w:p>
          <w:p w:rsidR="00CE4636" w:rsidRPr="00255EB4" w:rsidRDefault="00255EB4" w:rsidP="00255EB4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At the end, all children, one by one, will show and read their postcard to the class.</w:t>
            </w:r>
          </w:p>
          <w:p w:rsidR="0076769C" w:rsidRPr="00085A21" w:rsidRDefault="0076769C" w:rsidP="003A3795">
            <w:pPr>
              <w:spacing w:after="0" w:line="240" w:lineRule="auto"/>
              <w:rPr>
                <w:rFonts w:eastAsia="Times New Roman" w:cstheme="minorHAnsi"/>
                <w:lang w:val="en-GB" w:eastAsia="da-DK"/>
              </w:rPr>
            </w:pPr>
          </w:p>
        </w:tc>
      </w:tr>
      <w:tr w:rsidR="00255EB4" w:rsidRPr="003E072A" w:rsidTr="00FD1DF2">
        <w:trPr>
          <w:trHeight w:val="909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Things to consider (Precautions, safety measures, appropriate for larger groups, space needed etc):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The teacher may need to help the children to find the right words to describe the episode in the target language.</w:t>
            </w:r>
          </w:p>
        </w:tc>
      </w:tr>
      <w:tr w:rsidR="00255EB4" w:rsidRPr="003E072A" w:rsidTr="00FD1DF2">
        <w:trPr>
          <w:trHeight w:val="344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Promoting a creative atmosphere is ess</w:t>
            </w:r>
            <w:r w:rsidR="00B756CA">
              <w:rPr>
                <w:rFonts w:ascii="Arial" w:hAnsi="Arial" w:cs="Arial"/>
                <w:sz w:val="20"/>
                <w:szCs w:val="20"/>
                <w:lang w:val="en-GB"/>
              </w:rPr>
              <w:t xml:space="preserve">ential. Therefore, the teacher </w:t>
            </w:r>
            <w:bookmarkStart w:id="0" w:name="_GoBack"/>
            <w:bookmarkEnd w:id="0"/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should encourage children to explore their fantasy.</w:t>
            </w:r>
          </w:p>
        </w:tc>
      </w:tr>
      <w:tr w:rsidR="00255EB4" w:rsidRPr="003E072A" w:rsidTr="00FD1DF2">
        <w:trPr>
          <w:trHeight w:val="446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563B5D" w:rsidRDefault="00255EB4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Source(s) / Useful links: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>Many children’s stories can be found on internet, by Googling their title.</w:t>
            </w:r>
          </w:p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A recommended story, as an example, would be The Bremen Town Musicians, by Brothers Grimm: </w:t>
            </w:r>
            <w:hyperlink r:id="rId8" w:history="1">
              <w:r w:rsidRPr="00255EB4">
                <w:rPr>
                  <w:rStyle w:val="Hypertextovodkaz"/>
                  <w:rFonts w:ascii="Arial" w:hAnsi="Arial" w:cs="Arial"/>
                  <w:sz w:val="20"/>
                  <w:szCs w:val="20"/>
                  <w:lang w:val="en-GB"/>
                </w:rPr>
                <w:t>https://shortstoriesshort.com/story/the-musicians-of-bremen-2/</w:t>
              </w:r>
            </w:hyperlink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</w:p>
          <w:p w:rsidR="00255EB4" w:rsidRPr="00255EB4" w:rsidRDefault="00255EB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55EB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427"/>
    <w:multiLevelType w:val="multilevel"/>
    <w:tmpl w:val="02B6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83FB4"/>
    <w:multiLevelType w:val="hybridMultilevel"/>
    <w:tmpl w:val="D83285B0"/>
    <w:lvl w:ilvl="0" w:tplc="AC3855E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64EF1"/>
    <w:multiLevelType w:val="hybridMultilevel"/>
    <w:tmpl w:val="75FCDD84"/>
    <w:lvl w:ilvl="0" w:tplc="1BF61F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D2598"/>
    <w:multiLevelType w:val="hybridMultilevel"/>
    <w:tmpl w:val="E3945CDE"/>
    <w:lvl w:ilvl="0" w:tplc="18A6F8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C5341"/>
    <w:multiLevelType w:val="hybridMultilevel"/>
    <w:tmpl w:val="01C2AE5E"/>
    <w:lvl w:ilvl="0" w:tplc="138C62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801563"/>
    <w:multiLevelType w:val="hybridMultilevel"/>
    <w:tmpl w:val="6578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C0326"/>
    <w:multiLevelType w:val="multilevel"/>
    <w:tmpl w:val="FC1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7">
    <w:abstractNumId w:val="3"/>
  </w:num>
  <w:num w:numId="8">
    <w:abstractNumId w:val="5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5A21"/>
    <w:rsid w:val="00086427"/>
    <w:rsid w:val="000E385B"/>
    <w:rsid w:val="00171486"/>
    <w:rsid w:val="001728D6"/>
    <w:rsid w:val="00255EB4"/>
    <w:rsid w:val="002767B4"/>
    <w:rsid w:val="00292EC4"/>
    <w:rsid w:val="002B015F"/>
    <w:rsid w:val="00352802"/>
    <w:rsid w:val="00372C36"/>
    <w:rsid w:val="003A3795"/>
    <w:rsid w:val="003E072A"/>
    <w:rsid w:val="00445C49"/>
    <w:rsid w:val="00484DFF"/>
    <w:rsid w:val="004F7DF1"/>
    <w:rsid w:val="00563B5D"/>
    <w:rsid w:val="005679C7"/>
    <w:rsid w:val="005909FD"/>
    <w:rsid w:val="005B0AFA"/>
    <w:rsid w:val="005B13D9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756CA"/>
    <w:rsid w:val="00BD3A4B"/>
    <w:rsid w:val="00C22D2C"/>
    <w:rsid w:val="00C9215B"/>
    <w:rsid w:val="00CE4636"/>
    <w:rsid w:val="00D57D5E"/>
    <w:rsid w:val="00D61059"/>
    <w:rsid w:val="00DD11BE"/>
    <w:rsid w:val="00DE40B9"/>
    <w:rsid w:val="00E07661"/>
    <w:rsid w:val="00E425C8"/>
    <w:rsid w:val="00E93516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rtstoriesshort.com/story/the-musicians-of-bremen-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3</cp:revision>
  <cp:lastPrinted>2019-06-27T09:03:00Z</cp:lastPrinted>
  <dcterms:created xsi:type="dcterms:W3CDTF">2019-07-25T14:13:00Z</dcterms:created>
  <dcterms:modified xsi:type="dcterms:W3CDTF">2019-07-29T10:28:00Z</dcterms:modified>
</cp:coreProperties>
</file>