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605DD0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How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Do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You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Spell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It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605DD0" w:rsidRPr="003E072A" w:rsidTr="00445C49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563B5D" w:rsidRDefault="00605DD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605DD0" w:rsidRDefault="00605DD0" w:rsidP="008D6F8D">
            <w:pPr>
              <w:rPr>
                <w:rFonts w:ascii="Arial" w:hAnsi="Arial" w:cs="Arial"/>
                <w:sz w:val="20"/>
                <w:szCs w:val="20"/>
              </w:rPr>
            </w:pPr>
            <w:r w:rsidRPr="00605DD0">
              <w:rPr>
                <w:rFonts w:ascii="Arial" w:hAnsi="Arial" w:cs="Arial"/>
                <w:sz w:val="20"/>
                <w:szCs w:val="20"/>
              </w:rPr>
              <w:t>A1 Spoken Production</w:t>
            </w:r>
          </w:p>
        </w:tc>
      </w:tr>
      <w:tr w:rsidR="00605DD0" w:rsidRPr="003E072A" w:rsidTr="00445C49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563B5D" w:rsidRDefault="00605DD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605DD0" w:rsidRDefault="00605DD0" w:rsidP="008D6F8D">
            <w:pPr>
              <w:rPr>
                <w:rFonts w:ascii="Arial" w:hAnsi="Arial" w:cs="Arial"/>
                <w:sz w:val="20"/>
                <w:szCs w:val="20"/>
              </w:rPr>
            </w:pPr>
            <w:r w:rsidRPr="00605DD0">
              <w:rPr>
                <w:rFonts w:ascii="Arial" w:hAnsi="Arial" w:cs="Arial"/>
                <w:sz w:val="20"/>
                <w:szCs w:val="20"/>
              </w:rPr>
              <w:t>Giving personal information and providing correct spelling of it</w:t>
            </w:r>
          </w:p>
        </w:tc>
      </w:tr>
      <w:tr w:rsidR="00605DD0" w:rsidRPr="003E072A" w:rsidTr="00445C49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563B5D" w:rsidRDefault="00605DD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605DD0" w:rsidRDefault="00605DD0" w:rsidP="008D6F8D">
            <w:pPr>
              <w:rPr>
                <w:rFonts w:ascii="Arial" w:hAnsi="Arial" w:cs="Arial"/>
                <w:sz w:val="20"/>
                <w:szCs w:val="20"/>
              </w:rPr>
            </w:pPr>
            <w:r w:rsidRPr="00605DD0">
              <w:rPr>
                <w:rFonts w:ascii="Arial" w:hAnsi="Arial" w:cs="Arial"/>
                <w:sz w:val="20"/>
                <w:szCs w:val="20"/>
              </w:rPr>
              <w:t>Music</w:t>
            </w:r>
          </w:p>
        </w:tc>
      </w:tr>
      <w:tr w:rsidR="00605DD0" w:rsidRPr="003E072A" w:rsidTr="00445C49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563B5D" w:rsidRDefault="00605DD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605DD0" w:rsidRDefault="00605DD0" w:rsidP="008D6F8D">
            <w:pPr>
              <w:rPr>
                <w:rFonts w:ascii="Arial" w:hAnsi="Arial" w:cs="Arial"/>
                <w:sz w:val="20"/>
                <w:szCs w:val="20"/>
              </w:rPr>
            </w:pPr>
            <w:r w:rsidRPr="00605DD0">
              <w:rPr>
                <w:rFonts w:ascii="Arial" w:hAnsi="Arial" w:cs="Arial"/>
                <w:sz w:val="20"/>
                <w:szCs w:val="20"/>
              </w:rPr>
              <w:t>45 min</w:t>
            </w:r>
          </w:p>
        </w:tc>
      </w:tr>
      <w:tr w:rsidR="00605DD0" w:rsidRPr="003E072A" w:rsidTr="00445C49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563B5D" w:rsidRDefault="00605DD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605DD0" w:rsidRDefault="00605DD0" w:rsidP="008D6F8D">
            <w:pPr>
              <w:rPr>
                <w:rFonts w:ascii="Arial" w:hAnsi="Arial" w:cs="Arial"/>
                <w:sz w:val="20"/>
                <w:szCs w:val="20"/>
              </w:rPr>
            </w:pPr>
            <w:r w:rsidRPr="00605DD0">
              <w:rPr>
                <w:rFonts w:ascii="Arial" w:hAnsi="Arial" w:cs="Arial"/>
                <w:sz w:val="20"/>
                <w:szCs w:val="20"/>
              </w:rPr>
              <w:t>“The ABC Song”, a CD player or a laptop, cards with letters of the alphabet, a big poster with the alphabet”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says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: “Hello, I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Kate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your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?”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student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answers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giving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her/his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faces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another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student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introducing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herself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/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himself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asking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: “Hello, I </w:t>
            </w:r>
            <w:proofErr w:type="spellStart"/>
            <w:proofErr w:type="gram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.... and</w:t>
            </w:r>
            <w:proofErr w:type="gram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your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?”.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continues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until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all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ask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answer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. 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says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again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“My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Kate, K-A-T-E”.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Let’s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learn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how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spell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your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listen to “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ABC song” (a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slow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version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song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recommended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) and point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poster. 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Next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song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stopped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after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phrase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repeat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singing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. ABCDEFG / HIJKLMNOP / QRSTUV / WXYZ.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as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some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individually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whole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song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along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music.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song in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few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places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have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continue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singing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their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own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without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looking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poster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alphabet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karaoke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version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“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ABC Song”.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Children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can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dance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jump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song. 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Special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attention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paid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additional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repetition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takes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place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most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difficult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most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easily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confused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like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C-S, A-E-I, G-J-H, U-W-Y-V.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divided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into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three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gets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set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cards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written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says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random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have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find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corresponding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cards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hold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high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. In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student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who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fastest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find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correct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scores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point. At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end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game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winner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chosen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605DD0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student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chooses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letters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create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her/his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surname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spell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first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slowly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quickly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76769C" w:rsidRPr="00605DD0" w:rsidRDefault="00605DD0" w:rsidP="00605DD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divides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into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four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student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receives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piece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can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famous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singer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actor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cartoon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character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).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Without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showing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pieces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other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participants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by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spell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whereas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other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write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down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.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Next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compare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what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they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have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written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names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written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pieces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received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from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605DD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</w:tc>
      </w:tr>
      <w:tr w:rsidR="00563B5D" w:rsidRPr="003E072A" w:rsidTr="00445C49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Enough space for the whole group to work freely and safely</w:t>
            </w:r>
          </w:p>
        </w:tc>
      </w:tr>
      <w:tr w:rsidR="00563B5D" w:rsidRPr="003E072A" w:rsidTr="00445C49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563B5D" w:rsidRPr="003E072A" w:rsidTr="00445C49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 xml:space="preserve">Source(s) / Useful links: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05DD0" w:rsidRPr="00605DD0" w:rsidRDefault="00605DD0" w:rsidP="00605DD0">
            <w:pPr>
              <w:rPr>
                <w:rFonts w:ascii="Arial" w:hAnsi="Arial" w:cs="Arial"/>
                <w:sz w:val="20"/>
                <w:szCs w:val="20"/>
              </w:rPr>
            </w:pPr>
            <w:r w:rsidRPr="00605DD0">
              <w:rPr>
                <w:rFonts w:ascii="Arial" w:hAnsi="Arial" w:cs="Arial"/>
                <w:sz w:val="20"/>
                <w:szCs w:val="20"/>
              </w:rPr>
              <w:t>The ABC Song (for example https://youtu.be/75p-N9YKqNo)</w:t>
            </w:r>
          </w:p>
          <w:p w:rsidR="00563B5D" w:rsidRPr="00563B5D" w:rsidRDefault="00605DD0" w:rsidP="00605DD0">
            <w:pPr>
              <w:rPr>
                <w:rFonts w:ascii="Arial" w:hAnsi="Arial" w:cs="Arial"/>
                <w:sz w:val="20"/>
                <w:szCs w:val="20"/>
              </w:rPr>
            </w:pPr>
            <w:r w:rsidRPr="00605DD0">
              <w:rPr>
                <w:rFonts w:ascii="Arial" w:hAnsi="Arial" w:cs="Arial"/>
                <w:sz w:val="20"/>
                <w:szCs w:val="20"/>
              </w:rPr>
              <w:t>The ABC Song karaoke version https://youtu.be/Pzf3S5NTIPM)</w:t>
            </w:r>
          </w:p>
        </w:tc>
      </w:tr>
    </w:tbl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bookmarkStart w:id="0" w:name="_GoBack"/>
      <w:bookmarkEnd w:id="0"/>
    </w:p>
    <w:sectPr w:rsidR="00722159" w:rsidRPr="0072215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2767B4"/>
    <w:rsid w:val="00292EC4"/>
    <w:rsid w:val="002B015F"/>
    <w:rsid w:val="00352802"/>
    <w:rsid w:val="00372C36"/>
    <w:rsid w:val="003E072A"/>
    <w:rsid w:val="00445C49"/>
    <w:rsid w:val="00484DFF"/>
    <w:rsid w:val="004F7DF1"/>
    <w:rsid w:val="00563B5D"/>
    <w:rsid w:val="005679C7"/>
    <w:rsid w:val="005909FD"/>
    <w:rsid w:val="005B0AFA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D3A4B"/>
    <w:rsid w:val="00C22D2C"/>
    <w:rsid w:val="00C9215B"/>
    <w:rsid w:val="00D57D5E"/>
    <w:rsid w:val="00D61059"/>
    <w:rsid w:val="00DD11BE"/>
    <w:rsid w:val="00DE40B9"/>
    <w:rsid w:val="00E07661"/>
    <w:rsid w:val="00E425C8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2</cp:revision>
  <cp:lastPrinted>2019-06-27T09:03:00Z</cp:lastPrinted>
  <dcterms:created xsi:type="dcterms:W3CDTF">2019-07-25T13:17:00Z</dcterms:created>
  <dcterms:modified xsi:type="dcterms:W3CDTF">2019-07-25T13:17:00Z</dcterms:modified>
</cp:coreProperties>
</file>